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rPr>
          <w:rStyle w:val="Nessuno A"/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888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4"/>
        <w:gridCol w:w="4445"/>
      </w:tblGrid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()</w:t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Codice fiscale </w:t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2079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Di quale appalto si tratta?</w:t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360" w:lineRule="auto"/>
              <w:ind w:left="567" w:right="112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it-IT"/>
              </w:rPr>
              <w:t>Bando di gara europea mediante procedura aperta per la fornitura di gasolio per autotrazion</w:t>
            </w: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it-IT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</w:rPr>
              <w:t>Fornitura di gasolio per autotrazione a servizio del parco mezzi di AutoServiziCerella s.r.l.</w:t>
            </w:r>
          </w:p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appalto sia finanziato o cofinanziato con fondi europei)</w:t>
              <w:tab/>
            </w:r>
          </w:p>
        </w:tc>
        <w:tc>
          <w:tcPr>
            <w:tcW w:type="dxa" w:w="44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CIG: 8625901EAD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ove esistente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....]</w:t>
            </w:r>
          </w:p>
        </w:tc>
      </w:tr>
      <w:tr>
        <w:tblPrEx>
          <w:shd w:val="clear" w:color="auto" w:fill="ced7e7"/>
        </w:tblPrEx>
        <w:trPr>
          <w:trHeight w:val="6069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 Indicare i riferimenti in base ai quali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certificato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7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val="single"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45, comma 2, lett. d), e), f) e g) e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a), b), c), d)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o di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professionisti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legali rappresentanti ripetere tante volte quanto necessario.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 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89 del Codice - Avvalimento)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SectionTitle"/>
        <w:widowControl w:val="0"/>
        <w:spacing w:after="0"/>
        <w:ind w:left="216" w:hanging="216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ind w:left="108" w:hanging="108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affermativo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economico, in particolare quelli responsabili del controllo della qualit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e, per gli appalti pubblici di lavori, quelli di cui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disporr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(Tale sezione 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ricorrano le condizioni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   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ind w:left="216" w:hanging="216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esclusione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80 del Codice)</w:t>
      </w:r>
    </w:p>
    <w:p>
      <w:pPr>
        <w:pStyle w:val="SectionTitle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 un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criminale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Corruzione(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Frode(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Reati terroristici o reati connessi alle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terroristiche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Riciclaggio di proventi di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minorile e altre forme di tratta di esseri umani(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altro delitto da cui derivi, quale pena accessoria, l'incapacit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articolo 80, comma 1, del Codice);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80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condannati con sentenza definitiva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cinque anni fa o, indipendentemente dalla data della sentenza,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seguito alla quale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particolare,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individuazione dei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riferimento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sistemi di amministrazione e controllo delle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Pertanto, la sussistenza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ma che per tali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collegio sindacale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Per quanto riguarda 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soggetti muniti di poteri di rappresentanza, di direzione o di controllo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il requisito in esame deve essere verificato per quei soggetti che, bench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ad negotia),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impresa) o di controllo (come il revisore contabile 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Vigilanza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affidamento del controllo contabile a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la verifica del possesso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trattandosi di soggetto giuridico distinto dall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213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 ():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durata del periodo d'esclusione [..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00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2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3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Pagamento di imposte, tasse o contributi previdenziali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gli obblighi relativi al pagamento di imposte, tasse o contributi previdenziali,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nel paese dove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negativo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Come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decisione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Tale decisione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sentenza di condanna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altro modo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L'operatore economico ha ottemperato od ottemperer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50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 quanto di sua conoscenza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obblighi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di diritto ambientale, sociale e del lavoro,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750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sottoposto a un procedimento per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di una delle seguenti situazioni</w:t>
            </w:r>
            <w:r>
              <w:rPr>
                <w:rFonts w:ascii="Times New Roman" w:hAnsi="Times New Roman"/>
                <w:outline w:val="0"/>
                <w:color w:val="00000a"/>
                <w:sz w:val="24"/>
                <w:szCs w:val="24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curatore del fallimento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esercizio provvisorio ed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d)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ammesso a concordato con continuit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ha fornito consulenza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lang w:val="it-IT"/>
                <w14:textFill>
                  <w14:solidFill>
                    <w14:srgbClr w14:val="00000A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6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pu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confermare di:</w:t>
            </w:r>
          </w:p>
          <w:p>
            <w:pPr>
              <w:pStyle w:val="Normal Left"/>
              <w:numPr>
                <w:ilvl w:val="0"/>
                <w:numId w:val="18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essersi reso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false dichiarazioni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avere occultato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f), g), h), i), l), m)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Sussistono  a carico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"http://www.bosettiegatti.eu/info/norme/statali/2011_0159.htm%2523067"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67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84, comma 4, del medesimo decreto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88, comma 4-bis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"http://www.bosettiegatti.eu/info/norme/statali/2011_0159.htm%2523092"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92, commi 2 e 3,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disponibile elettronicamente, indicare: (indirizzo web, autorit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2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"http://www.bosettiegatti.eu/info/norme/statali/2001_0231.htm%252309"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"http://www.bosettiegatti.eu/info/norme/statali/2008_0081.htm%2523014"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14 del decreto legislativo 9 aprile 2008, n. 81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indicare la data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definitivo 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- la violazione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"http://www.bosettiegatti.eu/info/norme/statali/1999_0068.htm%252317"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legge 12 marzo 1999, n. 68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317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"http://www.bosettiegatti.eu/info/norme/statali/codicepenale.htm%2523629"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629 del codice penale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ha denunciato i fatti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ricorrono i casi previsti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"http://www.bosettiegatti.eu/info/norme/statali/codicecivile.htm%25232359"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   [ ]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in cui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(numero dipendenti e/o altro ) 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 si trova nella condizione prevista dall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Sussiste a carico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la causa interdittiva di cui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35 del d.l. n. 90/2014 (ovvero di non essere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ente estero, per il quale, in virt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possibile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identificazione dei soggetti che detengono quote di propriet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ente in  conformit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6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economico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autorizzazione rilasciata ai sensi del d.m. 14 dicembre 2010 del ministero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economia e delle finanze  o 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avanzata istanza per il rilascio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autorizzazione ed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SectionTitle"/>
        <w:widowControl w:val="0"/>
        <w:ind w:left="216" w:hanging="216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17"/>
          <w:szCs w:val="17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Style w:val="Nessuno"/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strike w:val="1"/>
          <w:dstrike w:val="0"/>
          <w:sz w:val="16"/>
          <w:szCs w:val="16"/>
        </w:rPr>
      </w:pPr>
      <w:r>
        <w:rPr>
          <w:rStyle w:val="Nessuno"/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Indicazione globale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rStyle w:val="Nessuno"/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Style w:val="Nessuno"/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Style w:val="Nessuno"/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Idoneit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o bando pertinente o nei documenti di gara.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Idoneit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 una particolare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Style w:val="Nessuno"/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1a)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>il seguente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Style w:val="Nessuno"/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2a) 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nel settore di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oggetto dell'appalto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 w:hint="default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2b)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ai sensi dell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83 comma 4, lett.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dalla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copertura contro i rischi professional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rStyle w:val="Nessuno A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Style w:val="Nessuno"/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heading 1"/>
        <w:spacing w:before="0" w:after="0"/>
        <w:ind w:left="85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1a) Unicamente per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importanti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Lavori: 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  Unicamente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2)    Pu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disporre dei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Nel caso di appalti pubblici di lavori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dispone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4) 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di gestione e di tracciabilit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della catena di approvvigionamento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5)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particolare: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consentir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l'esecuzione 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delle sue capacit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produzione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strutture tecniche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di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egli dispone, nonch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delle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adottate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6)       Indicare 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titoli di studio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b)      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b)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7)      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8)       L'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organico medio annuo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9)       Per l'esecuzione dell'appalto l'operatore economico disporr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dell'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intende eventualmente subappaltare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() la seguente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quota (espressa in percentuale)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11)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fornir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come richiesti;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 fornire le richieste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247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12)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pu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fornire i richiesti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istituti o servizi ufficiali incaricati del controllo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si dispone: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eventualmente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D: SISTEMI di garanzia della qualit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Style w:val="Nessuno"/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Sistemi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compresa l'accessibilit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per le persone con disabilit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rStyle w:val="Nessuno"/>
          <w:b w:val="1"/>
          <w:b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qualificati</w:t>
      </w:r>
      <w:r>
        <w:rPr>
          <w:rStyle w:val="Nessuno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small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small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soddisfare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DPR 445/2000.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Ferme restando le disposizioni degli articoli  40, 43 e 46 del DPR 445/2000, il sottoscritto/I sottoscritti dichiara/dichiarano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)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.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]</w:t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hAnsi="Calibri"/>
        <w:sz w:val="20"/>
        <w:szCs w:val="20"/>
      </w:rPr>
      <w:fldChar w:fldCharType="begin" w:fldLock="0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 w:fldLock="0"/>
    </w:r>
    <w:r>
      <w:rPr>
        <w:rFonts w:ascii="Calibri" w:hAnsi="Calibri"/>
        <w:sz w:val="20"/>
        <w:szCs w:val="20"/>
      </w:rPr>
    </w:r>
    <w:r>
      <w:rPr>
        <w:rFonts w:ascii="Calibri" w:hAnsi="Calibri"/>
        <w:sz w:val="20"/>
        <w:szCs w:val="2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dell'articolo 1 della convenzione relativa alla tutela degli interessi finanziari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criminose e di finanziamento del terrorismo </w:t>
      </w:r>
      <w:r>
        <w:rPr>
          <w:rFonts w:ascii="Arial" w:hAnsi="Arial"/>
          <w:i w:val="1"/>
          <w:iCs w:val="1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Style w:val="Nessuno"/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num" w:pos="1865"/>
          </w:tabs>
          <w:ind w:left="2081" w:hanging="1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761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77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49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505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30"/>
          </w:tabs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left" w:pos="730"/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tabs>
            <w:tab w:val="left" w:pos="730"/>
          </w:tabs>
          <w:ind w:left="16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tabs>
            <w:tab w:val="left" w:pos="730"/>
          </w:tabs>
          <w:ind w:left="165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tabs>
            <w:tab w:val="left" w:pos="730"/>
          </w:tabs>
          <w:ind w:left="237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tabs>
            <w:tab w:val="left" w:pos="730"/>
          </w:tabs>
          <w:ind w:left="238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0"/>
  </w:num>
  <w:num w:numId="16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8">
    <w:abstractNumId w:val="11"/>
  </w:num>
  <w:num w:numId="19">
    <w:abstractNumId w:val="12"/>
  </w:num>
  <w:num w:numId="20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3"/>
    <w:lvlOverride w:ilvl="0">
      <w:startOverride w:val="7"/>
    </w:lvlOverride>
  </w:num>
  <w:num w:numId="23">
    <w:abstractNumId w:val="14"/>
  </w:num>
  <w:num w:numId="24">
    <w:abstractNumId w:val="14"/>
    <w:lvlOverride w:ilvl="0">
      <w:startOverride w:val="8"/>
    </w:lvlOverride>
  </w:num>
  <w:num w:numId="25">
    <w:abstractNumId w:val="15"/>
  </w:num>
  <w:num w:numId="26">
    <w:abstractNumId w:val="15"/>
    <w:lvlOverride w:ilvl="0">
      <w:startOverride w:val="9"/>
    </w:lvlOverride>
  </w:num>
  <w:num w:numId="27">
    <w:abstractNumId w:val="16"/>
  </w:num>
  <w:num w:numId="28">
    <w:abstractNumId w:val="17"/>
  </w:num>
  <w:num w:numId="29">
    <w:abstractNumId w:val="17"/>
    <w:lvlOverride w:ilvl="0">
      <w:startOverride w:val="2"/>
    </w:lvlOverride>
  </w:num>
  <w:num w:numId="30">
    <w:abstractNumId w:val="18"/>
  </w:num>
  <w:num w:numId="31">
    <w:abstractNumId w:val="18"/>
    <w:lvlOverride w:ilvl="0">
      <w:startOverride w:val="4"/>
    </w:lvlOverride>
  </w:num>
  <w:num w:numId="32">
    <w:abstractNumId w:val="19"/>
  </w:num>
  <w:num w:numId="33">
    <w:abstractNumId w:val="19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  <w:style w:type="character" w:styleId="Nessuno A">
    <w:name w:val="Nessuno A"/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4"/>
      <w:szCs w:val="14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strike w:val="0"/>
      <w:dstrike w:val="0"/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88694-AD4A-46ED-A232-8F8D06B317EB}"/>
</file>

<file path=customXml/itemProps2.xml><?xml version="1.0" encoding="utf-8"?>
<ds:datastoreItem xmlns:ds="http://schemas.openxmlformats.org/officeDocument/2006/customXml" ds:itemID="{7F45454E-731B-452A-89A0-1482C8A902A0}"/>
</file>

<file path=customXml/itemProps3.xml><?xml version="1.0" encoding="utf-8"?>
<ds:datastoreItem xmlns:ds="http://schemas.openxmlformats.org/officeDocument/2006/customXml" ds:itemID="{17ABDF1E-E0A2-47E6-B7B0-488A56A9D0B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